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524B6" w14:textId="77777777" w:rsidR="00D138F4" w:rsidRDefault="00D138F4" w:rsidP="005F2504">
      <w:pPr>
        <w:pStyle w:val="NoSpacing"/>
        <w:jc w:val="center"/>
        <w:rPr>
          <w:sz w:val="10"/>
        </w:rPr>
      </w:pPr>
    </w:p>
    <w:p w14:paraId="0F91CE98" w14:textId="77777777" w:rsidR="00D138F4" w:rsidRPr="00BD626A" w:rsidRDefault="00D138F4" w:rsidP="005F2504">
      <w:pPr>
        <w:pStyle w:val="NoSpacing"/>
        <w:jc w:val="center"/>
        <w:rPr>
          <w:sz w:val="1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19"/>
        <w:gridCol w:w="2920"/>
        <w:gridCol w:w="2919"/>
        <w:gridCol w:w="2920"/>
        <w:gridCol w:w="2920"/>
      </w:tblGrid>
      <w:tr w:rsidR="00155F8A" w14:paraId="3F966076" w14:textId="77777777" w:rsidTr="00370744">
        <w:tc>
          <w:tcPr>
            <w:tcW w:w="14598" w:type="dxa"/>
            <w:gridSpan w:val="5"/>
            <w:shd w:val="clear" w:color="auto" w:fill="4F81BD" w:themeFill="accent1"/>
          </w:tcPr>
          <w:p w14:paraId="31059E4B" w14:textId="7DF955BC" w:rsidR="00155F8A" w:rsidRPr="00EA06BE" w:rsidRDefault="00405F2B" w:rsidP="00D0633F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NC Essential</w:t>
            </w:r>
            <w:r w:rsidR="00155F8A" w:rsidRPr="00EA06BE">
              <w:rPr>
                <w:b/>
                <w:sz w:val="28"/>
                <w:szCs w:val="28"/>
              </w:rPr>
              <w:t xml:space="preserve"> Standards </w:t>
            </w:r>
          </w:p>
        </w:tc>
      </w:tr>
      <w:tr w:rsidR="00834A30" w14:paraId="6BA9EEFA" w14:textId="77777777" w:rsidTr="00370744">
        <w:tc>
          <w:tcPr>
            <w:tcW w:w="14598" w:type="dxa"/>
            <w:gridSpan w:val="5"/>
            <w:shd w:val="clear" w:color="auto" w:fill="95B3D7" w:themeFill="accent1" w:themeFillTint="99"/>
          </w:tcPr>
          <w:p w14:paraId="092F039A" w14:textId="35A4C07A" w:rsidR="00834A30" w:rsidRPr="00EA06BE" w:rsidRDefault="00370744" w:rsidP="007D16E3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Key Areas of Focus for </w:t>
            </w:r>
            <w:r w:rsidR="007D16E3">
              <w:rPr>
                <w:b/>
                <w:sz w:val="28"/>
                <w:szCs w:val="28"/>
              </w:rPr>
              <w:t>Social Studies</w:t>
            </w:r>
          </w:p>
        </w:tc>
      </w:tr>
      <w:tr w:rsidR="007D16E3" w14:paraId="295571D1" w14:textId="77777777" w:rsidTr="007D16E3">
        <w:tc>
          <w:tcPr>
            <w:tcW w:w="2919" w:type="dxa"/>
            <w:shd w:val="clear" w:color="auto" w:fill="9BBB59" w:themeFill="accent3"/>
          </w:tcPr>
          <w:p w14:paraId="06FF7812" w14:textId="0C933974" w:rsidR="007D16E3" w:rsidRPr="00405F2B" w:rsidRDefault="007D16E3" w:rsidP="00405F2B">
            <w:pPr>
              <w:pStyle w:val="NoSpacing"/>
              <w:tabs>
                <w:tab w:val="left" w:pos="1440"/>
              </w:tabs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>1</w:t>
            </w:r>
            <w:hyperlink r:id="rId9" w:history="1">
              <w:r w:rsidRPr="00405F2B">
                <w:rPr>
                  <w:rStyle w:val="Hyperlink"/>
                  <w:b/>
                </w:rPr>
                <w:t xml:space="preserve"> </w:t>
              </w:r>
            </w:hyperlink>
          </w:p>
        </w:tc>
        <w:tc>
          <w:tcPr>
            <w:tcW w:w="2920" w:type="dxa"/>
            <w:shd w:val="clear" w:color="auto" w:fill="9BBB59" w:themeFill="accent3"/>
          </w:tcPr>
          <w:p w14:paraId="11ADFEEB" w14:textId="01BAB9A5" w:rsidR="007D16E3" w:rsidRPr="000A19DC" w:rsidRDefault="007D16E3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>2</w:t>
            </w:r>
          </w:p>
        </w:tc>
        <w:tc>
          <w:tcPr>
            <w:tcW w:w="2919" w:type="dxa"/>
            <w:shd w:val="clear" w:color="auto" w:fill="9BBB59" w:themeFill="accent3"/>
          </w:tcPr>
          <w:p w14:paraId="5B192F92" w14:textId="455E1A2A" w:rsidR="007D16E3" w:rsidRPr="000A19DC" w:rsidRDefault="007D16E3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>3</w:t>
            </w:r>
          </w:p>
        </w:tc>
        <w:tc>
          <w:tcPr>
            <w:tcW w:w="2920" w:type="dxa"/>
            <w:shd w:val="clear" w:color="auto" w:fill="9BBB59" w:themeFill="accent3"/>
          </w:tcPr>
          <w:p w14:paraId="7042E8B3" w14:textId="1CBA4139" w:rsidR="007D16E3" w:rsidRPr="000A19DC" w:rsidRDefault="007D16E3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>4</w:t>
            </w:r>
          </w:p>
        </w:tc>
        <w:tc>
          <w:tcPr>
            <w:tcW w:w="2920" w:type="dxa"/>
            <w:shd w:val="clear" w:color="auto" w:fill="9BBB59" w:themeFill="accent3"/>
          </w:tcPr>
          <w:p w14:paraId="403DD494" w14:textId="77777777" w:rsidR="007D16E3" w:rsidRPr="000A19DC" w:rsidRDefault="007D16E3" w:rsidP="00405F2B">
            <w:pPr>
              <w:pStyle w:val="NoSpacing"/>
              <w:jc w:val="center"/>
              <w:rPr>
                <w:b/>
              </w:rPr>
            </w:pPr>
            <w:r w:rsidRPr="00405F2B">
              <w:rPr>
                <w:b/>
              </w:rPr>
              <w:t xml:space="preserve">Unit </w:t>
            </w:r>
            <w:r>
              <w:rPr>
                <w:b/>
              </w:rPr>
              <w:t>5</w:t>
            </w:r>
          </w:p>
          <w:p w14:paraId="3141187E" w14:textId="7B6A3809" w:rsidR="007D16E3" w:rsidRDefault="007D16E3" w:rsidP="00405F2B">
            <w:pPr>
              <w:pStyle w:val="NoSpacing"/>
              <w:jc w:val="center"/>
              <w:rPr>
                <w:b/>
              </w:rPr>
            </w:pPr>
          </w:p>
        </w:tc>
      </w:tr>
      <w:tr w:rsidR="007D16E3" w:rsidRPr="00EA06BE" w14:paraId="60D415B5" w14:textId="77777777" w:rsidTr="007D16E3">
        <w:trPr>
          <w:trHeight w:val="1077"/>
        </w:trPr>
        <w:tc>
          <w:tcPr>
            <w:tcW w:w="2919" w:type="dxa"/>
            <w:shd w:val="clear" w:color="auto" w:fill="D6E3BC" w:themeFill="accent3" w:themeFillTint="66"/>
          </w:tcPr>
          <w:p w14:paraId="1C2EA5AC" w14:textId="0326FEBF" w:rsidR="007D16E3" w:rsidRPr="00EA06BE" w:rsidRDefault="00B470C6" w:rsidP="0090413E">
            <w:pPr>
              <w:pStyle w:val="NoSpacing"/>
              <w:tabs>
                <w:tab w:val="left" w:pos="1440"/>
              </w:tabs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Cultural Expression</w:t>
            </w:r>
          </w:p>
        </w:tc>
        <w:tc>
          <w:tcPr>
            <w:tcW w:w="2920" w:type="dxa"/>
            <w:shd w:val="clear" w:color="auto" w:fill="D6E3BC" w:themeFill="accent3" w:themeFillTint="66"/>
          </w:tcPr>
          <w:p w14:paraId="4496772D" w14:textId="500CF3C3" w:rsidR="007D16E3" w:rsidRPr="00EA06BE" w:rsidRDefault="00075DE4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Civics and Government</w:t>
            </w:r>
          </w:p>
        </w:tc>
        <w:tc>
          <w:tcPr>
            <w:tcW w:w="2919" w:type="dxa"/>
            <w:shd w:val="clear" w:color="auto" w:fill="D6E3BC" w:themeFill="accent3" w:themeFillTint="66"/>
          </w:tcPr>
          <w:p w14:paraId="5B66CA58" w14:textId="16FA75BF" w:rsidR="007D16E3" w:rsidRPr="00EA06BE" w:rsidRDefault="00075DE4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History Contributes to One’s Community</w:t>
            </w:r>
          </w:p>
        </w:tc>
        <w:tc>
          <w:tcPr>
            <w:tcW w:w="2920" w:type="dxa"/>
            <w:shd w:val="clear" w:color="auto" w:fill="D6E3BC" w:themeFill="accent3" w:themeFillTint="66"/>
          </w:tcPr>
          <w:p w14:paraId="116D795F" w14:textId="7B1585E8" w:rsidR="007D16E3" w:rsidRPr="00EA06BE" w:rsidRDefault="00330AE0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Economics</w:t>
            </w:r>
          </w:p>
        </w:tc>
        <w:tc>
          <w:tcPr>
            <w:tcW w:w="2920" w:type="dxa"/>
            <w:shd w:val="clear" w:color="auto" w:fill="D6E3BC" w:themeFill="accent3" w:themeFillTint="66"/>
          </w:tcPr>
          <w:p w14:paraId="5A21E17B" w14:textId="477B98BA" w:rsidR="007D16E3" w:rsidRPr="00EA06BE" w:rsidRDefault="00075DE4" w:rsidP="00EB5B79">
            <w:pPr>
              <w:pStyle w:val="NoSpacing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Environmental Impact</w:t>
            </w:r>
            <w:bookmarkStart w:id="0" w:name="_GoBack"/>
            <w:bookmarkEnd w:id="0"/>
          </w:p>
        </w:tc>
      </w:tr>
      <w:tr w:rsidR="007D16E3" w14:paraId="2B8CCBC8" w14:textId="77777777" w:rsidTr="007D16E3">
        <w:tc>
          <w:tcPr>
            <w:tcW w:w="2919" w:type="dxa"/>
            <w:shd w:val="clear" w:color="auto" w:fill="C0504D" w:themeFill="accent2"/>
          </w:tcPr>
          <w:p w14:paraId="20D5653C" w14:textId="4E069B99" w:rsidR="007D16E3" w:rsidRPr="008419FF" w:rsidRDefault="007D16E3" w:rsidP="00EB5B79">
            <w:pPr>
              <w:pStyle w:val="NoSpacing"/>
              <w:tabs>
                <w:tab w:val="left" w:pos="1440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proofErr w:type="gramStart"/>
            <w:r>
              <w:rPr>
                <w:b/>
                <w:sz w:val="20"/>
              </w:rPr>
              <w:t>of</w:t>
            </w:r>
            <w:proofErr w:type="gramEnd"/>
            <w:r>
              <w:rPr>
                <w:b/>
                <w:sz w:val="20"/>
              </w:rPr>
              <w:t xml:space="preserve"> Weeks</w:t>
            </w:r>
          </w:p>
        </w:tc>
        <w:tc>
          <w:tcPr>
            <w:tcW w:w="2920" w:type="dxa"/>
            <w:shd w:val="clear" w:color="auto" w:fill="C0504D" w:themeFill="accent2"/>
          </w:tcPr>
          <w:p w14:paraId="3599802C" w14:textId="3815DEEB" w:rsidR="007D16E3" w:rsidRPr="00155F8A" w:rsidRDefault="007D16E3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proofErr w:type="gramStart"/>
            <w:r>
              <w:rPr>
                <w:b/>
                <w:sz w:val="20"/>
              </w:rPr>
              <w:t>of</w:t>
            </w:r>
            <w:proofErr w:type="gramEnd"/>
            <w:r>
              <w:rPr>
                <w:b/>
                <w:sz w:val="20"/>
              </w:rPr>
              <w:t xml:space="preserve"> Weeks</w:t>
            </w:r>
          </w:p>
        </w:tc>
        <w:tc>
          <w:tcPr>
            <w:tcW w:w="2919" w:type="dxa"/>
            <w:shd w:val="clear" w:color="auto" w:fill="C0504D" w:themeFill="accent2"/>
          </w:tcPr>
          <w:p w14:paraId="5CD6D580" w14:textId="6BDDBE69" w:rsidR="007D16E3" w:rsidRPr="00155F8A" w:rsidRDefault="007D16E3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proofErr w:type="gramStart"/>
            <w:r>
              <w:rPr>
                <w:b/>
                <w:sz w:val="20"/>
              </w:rPr>
              <w:t>of</w:t>
            </w:r>
            <w:proofErr w:type="gramEnd"/>
            <w:r>
              <w:rPr>
                <w:b/>
                <w:sz w:val="20"/>
              </w:rPr>
              <w:t xml:space="preserve"> Weeks</w:t>
            </w:r>
          </w:p>
        </w:tc>
        <w:tc>
          <w:tcPr>
            <w:tcW w:w="2920" w:type="dxa"/>
            <w:shd w:val="clear" w:color="auto" w:fill="C0504D" w:themeFill="accent2"/>
          </w:tcPr>
          <w:p w14:paraId="38C96E36" w14:textId="5F06B6C5" w:rsidR="007D16E3" w:rsidRPr="00155F8A" w:rsidRDefault="007D16E3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proofErr w:type="gramStart"/>
            <w:r>
              <w:rPr>
                <w:b/>
                <w:sz w:val="20"/>
              </w:rPr>
              <w:t>of</w:t>
            </w:r>
            <w:proofErr w:type="gramEnd"/>
            <w:r>
              <w:rPr>
                <w:b/>
                <w:sz w:val="20"/>
              </w:rPr>
              <w:t xml:space="preserve"> Weeks</w:t>
            </w:r>
          </w:p>
        </w:tc>
        <w:tc>
          <w:tcPr>
            <w:tcW w:w="2920" w:type="dxa"/>
            <w:shd w:val="clear" w:color="auto" w:fill="C0504D" w:themeFill="accent2"/>
          </w:tcPr>
          <w:p w14:paraId="5D1E1FBD" w14:textId="77777777" w:rsidR="007D16E3" w:rsidRPr="00155F8A" w:rsidRDefault="007D16E3" w:rsidP="00EB5B79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</w:t>
            </w:r>
            <w:proofErr w:type="gramStart"/>
            <w:r>
              <w:rPr>
                <w:b/>
                <w:sz w:val="20"/>
              </w:rPr>
              <w:t>of</w:t>
            </w:r>
            <w:proofErr w:type="gramEnd"/>
            <w:r>
              <w:rPr>
                <w:b/>
                <w:sz w:val="20"/>
              </w:rPr>
              <w:t xml:space="preserve"> Weeks</w:t>
            </w:r>
          </w:p>
          <w:p w14:paraId="6B475B77" w14:textId="281E79BE" w:rsidR="007D16E3" w:rsidRDefault="007D16E3" w:rsidP="00EB5B79">
            <w:pPr>
              <w:pStyle w:val="NoSpacing"/>
              <w:jc w:val="center"/>
              <w:rPr>
                <w:b/>
                <w:sz w:val="20"/>
              </w:rPr>
            </w:pPr>
          </w:p>
        </w:tc>
      </w:tr>
      <w:tr w:rsidR="007D16E3" w:rsidRPr="009952CD" w14:paraId="58370CF7" w14:textId="77777777" w:rsidTr="007D16E3">
        <w:trPr>
          <w:trHeight w:val="1500"/>
        </w:trPr>
        <w:tc>
          <w:tcPr>
            <w:tcW w:w="2919" w:type="dxa"/>
            <w:shd w:val="clear" w:color="auto" w:fill="B2A1C7" w:themeFill="accent4" w:themeFillTint="99"/>
          </w:tcPr>
          <w:p w14:paraId="557F9E2B" w14:textId="48BD06D2" w:rsidR="007D16E3" w:rsidRDefault="00B470C6" w:rsidP="00BC71F9">
            <w:pPr>
              <w:pStyle w:val="NoSpacing"/>
              <w:tabs>
                <w:tab w:val="left" w:pos="1440"/>
              </w:tabs>
              <w:rPr>
                <w:b/>
              </w:rPr>
            </w:pPr>
            <w:r>
              <w:rPr>
                <w:b/>
              </w:rPr>
              <w:t>2.C.1</w:t>
            </w:r>
          </w:p>
          <w:p w14:paraId="0ACDDA04" w14:textId="2FB9BFFC" w:rsidR="00330AE0" w:rsidRDefault="00B470C6" w:rsidP="00BC71F9">
            <w:pPr>
              <w:pStyle w:val="NoSpacing"/>
              <w:tabs>
                <w:tab w:val="left" w:pos="1440"/>
              </w:tabs>
            </w:pPr>
            <w:r>
              <w:t>2.C.1</w:t>
            </w:r>
            <w:r w:rsidR="00330AE0">
              <w:t>.1</w:t>
            </w:r>
          </w:p>
          <w:p w14:paraId="02893187" w14:textId="18DAE7D7" w:rsidR="00330AE0" w:rsidRDefault="00B470C6" w:rsidP="00BC71F9">
            <w:pPr>
              <w:pStyle w:val="NoSpacing"/>
              <w:tabs>
                <w:tab w:val="left" w:pos="1440"/>
              </w:tabs>
            </w:pPr>
            <w:r>
              <w:t>2.C.1</w:t>
            </w:r>
            <w:r w:rsidR="00330AE0">
              <w:t>.2</w:t>
            </w:r>
          </w:p>
          <w:p w14:paraId="537292B1" w14:textId="22FC930C" w:rsidR="00330AE0" w:rsidRPr="00330AE0" w:rsidRDefault="00B470C6" w:rsidP="00BC71F9">
            <w:pPr>
              <w:pStyle w:val="NoSpacing"/>
              <w:tabs>
                <w:tab w:val="left" w:pos="1440"/>
              </w:tabs>
            </w:pPr>
            <w:r>
              <w:t>2.C.1</w:t>
            </w:r>
            <w:r w:rsidR="00330AE0">
              <w:t>.3</w:t>
            </w:r>
          </w:p>
        </w:tc>
        <w:tc>
          <w:tcPr>
            <w:tcW w:w="2920" w:type="dxa"/>
            <w:shd w:val="clear" w:color="auto" w:fill="B2A1C7" w:themeFill="accent4" w:themeFillTint="99"/>
          </w:tcPr>
          <w:p w14:paraId="38CAAB19" w14:textId="77777777" w:rsidR="007D16E3" w:rsidRDefault="00330AE0" w:rsidP="00BC71F9">
            <w:pPr>
              <w:pStyle w:val="NoSpacing"/>
              <w:rPr>
                <w:b/>
              </w:rPr>
            </w:pPr>
            <w:r>
              <w:rPr>
                <w:b/>
              </w:rPr>
              <w:t>2.C&amp;G.1</w:t>
            </w:r>
          </w:p>
          <w:p w14:paraId="6592D2D4" w14:textId="4CAEFDD6" w:rsidR="00075DE4" w:rsidRDefault="00075DE4" w:rsidP="00BC71F9">
            <w:pPr>
              <w:pStyle w:val="NoSpacing"/>
              <w:rPr>
                <w:b/>
              </w:rPr>
            </w:pPr>
            <w:r>
              <w:t>2.C&amp;G.1.1</w:t>
            </w:r>
          </w:p>
          <w:p w14:paraId="2F3B778B" w14:textId="77777777" w:rsidR="00330AE0" w:rsidRDefault="00330AE0" w:rsidP="00BC71F9">
            <w:pPr>
              <w:pStyle w:val="NoSpacing"/>
            </w:pPr>
            <w:r>
              <w:t>2.C&amp;G.1.2</w:t>
            </w:r>
          </w:p>
          <w:p w14:paraId="38B5DC72" w14:textId="77777777" w:rsidR="00330AE0" w:rsidRDefault="00330AE0" w:rsidP="00BC71F9">
            <w:pPr>
              <w:pStyle w:val="NoSpacing"/>
              <w:rPr>
                <w:b/>
              </w:rPr>
            </w:pPr>
            <w:r>
              <w:rPr>
                <w:b/>
              </w:rPr>
              <w:t>2.C&amp;G.2</w:t>
            </w:r>
          </w:p>
          <w:p w14:paraId="52C05424" w14:textId="77777777" w:rsidR="00330AE0" w:rsidRDefault="00330AE0" w:rsidP="00BC71F9">
            <w:pPr>
              <w:pStyle w:val="NoSpacing"/>
            </w:pPr>
            <w:r>
              <w:t>2.C&amp;G.2.1</w:t>
            </w:r>
          </w:p>
          <w:p w14:paraId="6D7284BD" w14:textId="49DC599A" w:rsidR="00330AE0" w:rsidRPr="00330AE0" w:rsidRDefault="00330AE0" w:rsidP="00BC71F9">
            <w:pPr>
              <w:pStyle w:val="NoSpacing"/>
            </w:pPr>
            <w:r>
              <w:t>2.C&amp;G.2.2</w:t>
            </w:r>
          </w:p>
        </w:tc>
        <w:tc>
          <w:tcPr>
            <w:tcW w:w="2919" w:type="dxa"/>
            <w:shd w:val="clear" w:color="auto" w:fill="B2A1C7" w:themeFill="accent4" w:themeFillTint="99"/>
          </w:tcPr>
          <w:p w14:paraId="25664868" w14:textId="77777777" w:rsidR="007D16E3" w:rsidRDefault="00330AE0" w:rsidP="00BC71F9">
            <w:pPr>
              <w:pStyle w:val="NoSpacing"/>
              <w:rPr>
                <w:b/>
              </w:rPr>
            </w:pPr>
            <w:r>
              <w:rPr>
                <w:b/>
              </w:rPr>
              <w:t>2.H.1</w:t>
            </w:r>
          </w:p>
          <w:p w14:paraId="4205677D" w14:textId="77777777" w:rsidR="00330AE0" w:rsidRDefault="00330AE0" w:rsidP="00BC71F9">
            <w:pPr>
              <w:pStyle w:val="NoSpacing"/>
            </w:pPr>
            <w:r>
              <w:t>2.H.1.1</w:t>
            </w:r>
          </w:p>
          <w:p w14:paraId="546ECC78" w14:textId="77777777" w:rsidR="00330AE0" w:rsidRDefault="00330AE0" w:rsidP="00BC71F9">
            <w:pPr>
              <w:pStyle w:val="NoSpacing"/>
            </w:pPr>
            <w:r>
              <w:t>2.H.1.2</w:t>
            </w:r>
          </w:p>
          <w:p w14:paraId="56942975" w14:textId="77777777" w:rsidR="00330AE0" w:rsidRDefault="00330AE0" w:rsidP="00BC71F9">
            <w:pPr>
              <w:pStyle w:val="NoSpacing"/>
            </w:pPr>
            <w:r>
              <w:t>2.H.1.3</w:t>
            </w:r>
          </w:p>
          <w:p w14:paraId="6DCCAFAB" w14:textId="77777777" w:rsidR="00330AE0" w:rsidRDefault="00330AE0" w:rsidP="00BC71F9">
            <w:pPr>
              <w:pStyle w:val="NoSpacing"/>
              <w:rPr>
                <w:b/>
              </w:rPr>
            </w:pPr>
            <w:r>
              <w:rPr>
                <w:b/>
              </w:rPr>
              <w:t>2.G.1</w:t>
            </w:r>
          </w:p>
          <w:p w14:paraId="175C8DD1" w14:textId="77777777" w:rsidR="00330AE0" w:rsidRDefault="00330AE0" w:rsidP="00BC71F9">
            <w:pPr>
              <w:pStyle w:val="NoSpacing"/>
            </w:pPr>
            <w:r>
              <w:t>2.G.1.1</w:t>
            </w:r>
          </w:p>
          <w:p w14:paraId="5D5B2AD6" w14:textId="630E9668" w:rsidR="00330AE0" w:rsidRPr="00330AE0" w:rsidRDefault="00330AE0" w:rsidP="00BC71F9">
            <w:pPr>
              <w:pStyle w:val="NoSpacing"/>
            </w:pPr>
            <w:r>
              <w:t>2.G.1.2</w:t>
            </w:r>
          </w:p>
        </w:tc>
        <w:tc>
          <w:tcPr>
            <w:tcW w:w="2920" w:type="dxa"/>
            <w:shd w:val="clear" w:color="auto" w:fill="B2A1C7" w:themeFill="accent4" w:themeFillTint="99"/>
          </w:tcPr>
          <w:p w14:paraId="41ACF2A4" w14:textId="77777777" w:rsidR="007D16E3" w:rsidRDefault="00330AE0" w:rsidP="00BC71F9">
            <w:pPr>
              <w:pStyle w:val="NoSpacing"/>
              <w:rPr>
                <w:b/>
              </w:rPr>
            </w:pPr>
            <w:r>
              <w:rPr>
                <w:b/>
              </w:rPr>
              <w:t>2.E.1</w:t>
            </w:r>
          </w:p>
          <w:p w14:paraId="53183863" w14:textId="77777777" w:rsidR="00330AE0" w:rsidRDefault="00330AE0" w:rsidP="00BC71F9">
            <w:pPr>
              <w:pStyle w:val="NoSpacing"/>
            </w:pPr>
            <w:r>
              <w:t>2.E.1.1</w:t>
            </w:r>
          </w:p>
          <w:p w14:paraId="74D0B732" w14:textId="77777777" w:rsidR="00330AE0" w:rsidRDefault="00330AE0" w:rsidP="00BC71F9">
            <w:pPr>
              <w:pStyle w:val="NoSpacing"/>
            </w:pPr>
            <w:r>
              <w:t>2.E.1.2</w:t>
            </w:r>
          </w:p>
          <w:p w14:paraId="502ACBB6" w14:textId="031E02CD" w:rsidR="00330AE0" w:rsidRDefault="00330AE0" w:rsidP="00BC71F9">
            <w:pPr>
              <w:pStyle w:val="NoSpacing"/>
            </w:pPr>
            <w:r>
              <w:t>2.E.1.3</w:t>
            </w:r>
          </w:p>
          <w:p w14:paraId="6C2A8AEC" w14:textId="04C2E2DE" w:rsidR="00330AE0" w:rsidRDefault="00330AE0" w:rsidP="00BC71F9">
            <w:pPr>
              <w:pStyle w:val="NoSpacing"/>
            </w:pPr>
            <w:r>
              <w:t>2.E.1.4</w:t>
            </w:r>
          </w:p>
          <w:p w14:paraId="741E146A" w14:textId="0AA5B976" w:rsidR="00330AE0" w:rsidRDefault="00330AE0" w:rsidP="00BC71F9">
            <w:pPr>
              <w:pStyle w:val="NoSpacing"/>
            </w:pPr>
            <w:r>
              <w:t>2.E.1.5</w:t>
            </w:r>
          </w:p>
          <w:p w14:paraId="0D874E67" w14:textId="7FEDEC65" w:rsidR="00330AE0" w:rsidRPr="00075DE4" w:rsidRDefault="00330AE0" w:rsidP="00BC71F9">
            <w:pPr>
              <w:pStyle w:val="NoSpacing"/>
            </w:pPr>
            <w:r>
              <w:t>2.E.1.6</w:t>
            </w:r>
          </w:p>
        </w:tc>
        <w:tc>
          <w:tcPr>
            <w:tcW w:w="2920" w:type="dxa"/>
            <w:shd w:val="clear" w:color="auto" w:fill="B2A1C7" w:themeFill="accent4" w:themeFillTint="99"/>
          </w:tcPr>
          <w:p w14:paraId="609B36EA" w14:textId="7A90DC7B" w:rsidR="007D16E3" w:rsidRDefault="00330AE0" w:rsidP="00BC71F9">
            <w:pPr>
              <w:pStyle w:val="NoSpacing"/>
              <w:rPr>
                <w:b/>
              </w:rPr>
            </w:pPr>
            <w:r>
              <w:rPr>
                <w:b/>
              </w:rPr>
              <w:t>2.G.2</w:t>
            </w:r>
          </w:p>
          <w:p w14:paraId="2267587E" w14:textId="77777777" w:rsidR="00330AE0" w:rsidRDefault="00330AE0" w:rsidP="00BC71F9">
            <w:pPr>
              <w:pStyle w:val="NoSpacing"/>
            </w:pPr>
            <w:r>
              <w:t>2.G.2.1</w:t>
            </w:r>
          </w:p>
          <w:p w14:paraId="115DFB29" w14:textId="04578062" w:rsidR="00330AE0" w:rsidRDefault="00330AE0" w:rsidP="00330AE0">
            <w:pPr>
              <w:pStyle w:val="NoSpacing"/>
            </w:pPr>
            <w:r>
              <w:t>2.G.2.2</w:t>
            </w:r>
          </w:p>
          <w:p w14:paraId="5D791B4D" w14:textId="77777777" w:rsidR="00330AE0" w:rsidRDefault="00330AE0" w:rsidP="00330AE0">
            <w:pPr>
              <w:pStyle w:val="NoSpacing"/>
            </w:pPr>
          </w:p>
          <w:p w14:paraId="5308BD96" w14:textId="77777777" w:rsidR="00330AE0" w:rsidRDefault="00330AE0" w:rsidP="00BC71F9">
            <w:pPr>
              <w:pStyle w:val="NoSpacing"/>
            </w:pPr>
          </w:p>
          <w:p w14:paraId="5B57F3F6" w14:textId="574B4D9E" w:rsidR="00330AE0" w:rsidRPr="00330AE0" w:rsidRDefault="00330AE0" w:rsidP="00BC71F9">
            <w:pPr>
              <w:pStyle w:val="NoSpacing"/>
            </w:pPr>
          </w:p>
        </w:tc>
      </w:tr>
      <w:tr w:rsidR="0027470C" w:rsidRPr="009952CD" w14:paraId="133DDB98" w14:textId="77777777" w:rsidTr="0027470C">
        <w:trPr>
          <w:trHeight w:val="186"/>
        </w:trPr>
        <w:tc>
          <w:tcPr>
            <w:tcW w:w="14598" w:type="dxa"/>
            <w:gridSpan w:val="5"/>
            <w:shd w:val="clear" w:color="auto" w:fill="auto"/>
          </w:tcPr>
          <w:p w14:paraId="71DF0132" w14:textId="3D96A52C" w:rsidR="000B2DE1" w:rsidRPr="0027470C" w:rsidRDefault="000B2DE1" w:rsidP="000B2DE1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</w:tr>
      <w:tr w:rsidR="00CA3DB5" w:rsidRPr="009952CD" w14:paraId="382EA784" w14:textId="77777777" w:rsidTr="00C343EB">
        <w:trPr>
          <w:trHeight w:val="177"/>
        </w:trPr>
        <w:tc>
          <w:tcPr>
            <w:tcW w:w="14598" w:type="dxa"/>
            <w:gridSpan w:val="5"/>
            <w:shd w:val="clear" w:color="auto" w:fill="95B3D7" w:themeFill="accent1" w:themeFillTint="99"/>
          </w:tcPr>
          <w:p w14:paraId="0C692149" w14:textId="70DD488E" w:rsidR="00CA3DB5" w:rsidRPr="00633B77" w:rsidRDefault="00CA3DB5" w:rsidP="00C343E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633B77">
              <w:rPr>
                <w:rFonts w:cs="Times New Roman"/>
                <w:b/>
                <w:bCs/>
                <w:sz w:val="28"/>
                <w:szCs w:val="28"/>
              </w:rPr>
              <w:t>Document Key</w:t>
            </w:r>
          </w:p>
        </w:tc>
      </w:tr>
      <w:tr w:rsidR="00633B77" w:rsidRPr="009952CD" w14:paraId="4BE23FE1" w14:textId="77777777" w:rsidTr="00CA3DB5">
        <w:trPr>
          <w:trHeight w:val="177"/>
        </w:trPr>
        <w:tc>
          <w:tcPr>
            <w:tcW w:w="14598" w:type="dxa"/>
            <w:gridSpan w:val="5"/>
            <w:shd w:val="clear" w:color="auto" w:fill="D6E3BC" w:themeFill="accent3" w:themeFillTint="66"/>
          </w:tcPr>
          <w:p w14:paraId="258A761F" w14:textId="41B9728E" w:rsidR="00633B77" w:rsidRPr="0027470C" w:rsidRDefault="00633B77" w:rsidP="00CA3DB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27470C">
              <w:rPr>
                <w:rFonts w:cs="Times New Roman"/>
                <w:b/>
                <w:bCs/>
                <w:sz w:val="18"/>
                <w:szCs w:val="18"/>
              </w:rPr>
              <w:t>Unit Topic</w:t>
            </w:r>
          </w:p>
        </w:tc>
      </w:tr>
      <w:tr w:rsidR="00CA3DB5" w:rsidRPr="009952CD" w14:paraId="26BC40BE" w14:textId="77777777" w:rsidTr="00CA3DB5">
        <w:trPr>
          <w:trHeight w:val="177"/>
        </w:trPr>
        <w:tc>
          <w:tcPr>
            <w:tcW w:w="14598" w:type="dxa"/>
            <w:gridSpan w:val="5"/>
            <w:shd w:val="clear" w:color="auto" w:fill="C0504D" w:themeFill="accent2"/>
          </w:tcPr>
          <w:p w14:paraId="12A03274" w14:textId="026C86EF" w:rsidR="00CA3DB5" w:rsidRPr="0027470C" w:rsidRDefault="00633B77" w:rsidP="00633B7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27470C">
              <w:rPr>
                <w:rFonts w:cs="Times New Roman"/>
                <w:b/>
                <w:bCs/>
                <w:sz w:val="18"/>
                <w:szCs w:val="18"/>
              </w:rPr>
              <w:t>Number of Weeks per Unit</w:t>
            </w:r>
          </w:p>
        </w:tc>
      </w:tr>
      <w:tr w:rsidR="00CA3DB5" w:rsidRPr="009952CD" w14:paraId="32409CBB" w14:textId="77777777" w:rsidTr="00CA3DB5">
        <w:trPr>
          <w:trHeight w:val="177"/>
        </w:trPr>
        <w:tc>
          <w:tcPr>
            <w:tcW w:w="14598" w:type="dxa"/>
            <w:gridSpan w:val="5"/>
            <w:shd w:val="clear" w:color="auto" w:fill="B2A1C7" w:themeFill="accent4" w:themeFillTint="99"/>
          </w:tcPr>
          <w:p w14:paraId="64B166AC" w14:textId="77777777" w:rsidR="00CA3DB5" w:rsidRDefault="00633B77" w:rsidP="00633B7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 w:rsidRPr="0027470C">
              <w:rPr>
                <w:rFonts w:cs="Times New Roman"/>
                <w:b/>
                <w:bCs/>
                <w:sz w:val="18"/>
                <w:szCs w:val="18"/>
              </w:rPr>
              <w:t>Focus Standards for Each Unit</w:t>
            </w:r>
          </w:p>
          <w:p w14:paraId="3D9C5A4A" w14:textId="7163ACA9" w:rsidR="00A40E8C" w:rsidRPr="0027470C" w:rsidRDefault="00A40E8C" w:rsidP="00633B7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G=Geography</w:t>
            </w:r>
            <w:r w:rsidR="00094FA1">
              <w:rPr>
                <w:rFonts w:cs="Times New Roman"/>
                <w:b/>
                <w:bCs/>
                <w:sz w:val="18"/>
                <w:szCs w:val="18"/>
              </w:rPr>
              <w:t xml:space="preserve"> and Environmental Literacy</w:t>
            </w:r>
            <w:r>
              <w:rPr>
                <w:rFonts w:cs="Times New Roman"/>
                <w:b/>
                <w:bCs/>
                <w:sz w:val="18"/>
                <w:szCs w:val="18"/>
              </w:rPr>
              <w:t>, C&amp;G=Civics and Government, H=History, C=Culture, E=Economic</w:t>
            </w:r>
            <w:r w:rsidR="00094FA1">
              <w:rPr>
                <w:rFonts w:cs="Times New Roman"/>
                <w:b/>
                <w:bCs/>
                <w:sz w:val="18"/>
                <w:szCs w:val="18"/>
              </w:rPr>
              <w:t xml:space="preserve"> and Financial Literacy</w:t>
            </w:r>
          </w:p>
        </w:tc>
      </w:tr>
    </w:tbl>
    <w:p w14:paraId="194C9628" w14:textId="77777777" w:rsidR="00094FA1" w:rsidRDefault="00094FA1">
      <w:r>
        <w:br w:type="page"/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98"/>
      </w:tblGrid>
      <w:tr w:rsidR="00C343EB" w:rsidRPr="009952CD" w14:paraId="5BE76632" w14:textId="77777777" w:rsidTr="00C343EB">
        <w:trPr>
          <w:trHeight w:val="177"/>
        </w:trPr>
        <w:tc>
          <w:tcPr>
            <w:tcW w:w="14598" w:type="dxa"/>
            <w:shd w:val="clear" w:color="auto" w:fill="95B3D7" w:themeFill="accent1" w:themeFillTint="99"/>
          </w:tcPr>
          <w:p w14:paraId="4B7829C6" w14:textId="1152EA41" w:rsidR="00C343EB" w:rsidRPr="00633B77" w:rsidRDefault="00094FA1" w:rsidP="00405F2B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 xml:space="preserve">NC </w:t>
            </w:r>
            <w:r w:rsidR="00405F2B">
              <w:rPr>
                <w:rFonts w:cs="Times New Roman"/>
                <w:b/>
                <w:bCs/>
                <w:sz w:val="28"/>
                <w:szCs w:val="28"/>
              </w:rPr>
              <w:t>Essential Standards</w:t>
            </w:r>
            <w:r>
              <w:rPr>
                <w:rFonts w:cs="Times New Roman"/>
                <w:b/>
                <w:bCs/>
                <w:sz w:val="28"/>
                <w:szCs w:val="28"/>
              </w:rPr>
              <w:t xml:space="preserve"> for Social Studies</w:t>
            </w:r>
          </w:p>
        </w:tc>
      </w:tr>
      <w:tr w:rsidR="00C936C4" w:rsidRPr="009952CD" w14:paraId="4CF42D8B" w14:textId="77777777" w:rsidTr="00405F2B">
        <w:trPr>
          <w:trHeight w:val="1824"/>
        </w:trPr>
        <w:tc>
          <w:tcPr>
            <w:tcW w:w="14598" w:type="dxa"/>
            <w:shd w:val="clear" w:color="auto" w:fill="DBE5F1" w:themeFill="accent1" w:themeFillTint="33"/>
          </w:tcPr>
          <w:p w14:paraId="0B0FE537" w14:textId="2E291FE7" w:rsidR="00C343EB" w:rsidRDefault="00B470C6" w:rsidP="00405F2B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History</w:t>
            </w:r>
          </w:p>
          <w:p w14:paraId="52036B95" w14:textId="77777777" w:rsidR="00B470C6" w:rsidRDefault="00B470C6" w:rsidP="00405F2B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2.H.1 Understand how various sources provide information about the past.</w:t>
            </w:r>
          </w:p>
          <w:p w14:paraId="095CD08D" w14:textId="77777777" w:rsidR="00B470C6" w:rsidRDefault="00B470C6" w:rsidP="00B470C6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2.H.1.1 Use timelines to show sequencing of events.</w:t>
            </w:r>
          </w:p>
          <w:p w14:paraId="0922B22E" w14:textId="77777777" w:rsidR="00B470C6" w:rsidRDefault="00B470C6" w:rsidP="00B470C6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2.H.1.2 Identify contributions of historical figures (community, state, nation, and world) through various genres.</w:t>
            </w:r>
          </w:p>
          <w:p w14:paraId="72475326" w14:textId="77777777" w:rsidR="00B470C6" w:rsidRDefault="00B470C6" w:rsidP="00B470C6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2.H.1.3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Compare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various interpretations of the same time period using evidence such as photographs and interviews.</w:t>
            </w:r>
          </w:p>
          <w:p w14:paraId="50D488DB" w14:textId="77777777" w:rsidR="00B470C6" w:rsidRDefault="00B470C6" w:rsidP="00B470C6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0493272F" w14:textId="77777777" w:rsidR="00B470C6" w:rsidRDefault="00B470C6" w:rsidP="00B470C6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Geography and Environmental Literacy</w:t>
            </w:r>
          </w:p>
          <w:p w14:paraId="32584919" w14:textId="77777777" w:rsidR="00B470C6" w:rsidRDefault="00B470C6" w:rsidP="00B470C6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2.G.1 Use geographic representations, terms, and technology to process information from a spatial perspective.</w:t>
            </w:r>
          </w:p>
          <w:p w14:paraId="124D5D07" w14:textId="77777777" w:rsidR="00B470C6" w:rsidRDefault="00B470C6" w:rsidP="00B470C6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2.G.1.1 Interpret maps of the school and community that contain symbols, legends, and cardinal directions.</w:t>
            </w:r>
          </w:p>
          <w:p w14:paraId="58D0D80A" w14:textId="77777777" w:rsidR="00B470C6" w:rsidRDefault="00B470C6" w:rsidP="00B470C6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2.G.1.2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Interpret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the meaning of symbols and the location of physical and human features on a map (cities, railroads, highways, countries, continents, oceans, etc.).</w:t>
            </w:r>
          </w:p>
          <w:p w14:paraId="621562FE" w14:textId="77777777" w:rsidR="00B470C6" w:rsidRDefault="00B470C6" w:rsidP="00B470C6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2.G.2 Understand the effects of humans interacting with their environment.</w:t>
            </w:r>
          </w:p>
          <w:p w14:paraId="659B0AE3" w14:textId="77777777" w:rsidR="00B470C6" w:rsidRDefault="00B470C6" w:rsidP="00B470C6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2.G.2.1 Give examples of ways in which people depend on the physical environment and natural resources to meet basic needs.</w:t>
            </w:r>
          </w:p>
          <w:p w14:paraId="75FD2F3D" w14:textId="77777777" w:rsidR="00B470C6" w:rsidRDefault="00B470C6" w:rsidP="00B470C6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2.G.2.2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Explain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how people positively and negatively affect the environment.</w:t>
            </w:r>
          </w:p>
          <w:p w14:paraId="28BF73DD" w14:textId="77777777" w:rsidR="00B470C6" w:rsidRDefault="00B470C6" w:rsidP="00B470C6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53CCAE90" w14:textId="77777777" w:rsidR="00B470C6" w:rsidRDefault="00B470C6" w:rsidP="00B470C6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Economics and Financial Literacy</w:t>
            </w:r>
          </w:p>
          <w:p w14:paraId="50C7D329" w14:textId="77777777" w:rsidR="00B470C6" w:rsidRDefault="00B470C6" w:rsidP="00B470C6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2.E.1 Understand basic economic concepts.</w:t>
            </w:r>
          </w:p>
          <w:p w14:paraId="38AABFEF" w14:textId="77777777" w:rsidR="00B470C6" w:rsidRDefault="00B470C6" w:rsidP="00B470C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2.E.1.1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Give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examples of ways in which businesses in the community meet the needs and wants of consumers.</w:t>
            </w:r>
          </w:p>
          <w:p w14:paraId="431784F2" w14:textId="77777777" w:rsidR="00B470C6" w:rsidRDefault="00B470C6" w:rsidP="00B470C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2.E.1.2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Explain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the roles and impact producers and consumers have on the economy.</w:t>
            </w:r>
          </w:p>
          <w:p w14:paraId="4EA10F1C" w14:textId="77777777" w:rsidR="00B470C6" w:rsidRDefault="00B470C6" w:rsidP="00B470C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2.E.1.3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Summarize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the concept of supply and demand.</w:t>
            </w:r>
          </w:p>
          <w:p w14:paraId="4D8E67C3" w14:textId="77777777" w:rsidR="00B470C6" w:rsidRDefault="00B470C6" w:rsidP="00B470C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2.E.1.4 Explain why people and countries around the world trade for goods and services.</w:t>
            </w:r>
          </w:p>
          <w:p w14:paraId="17E40EA9" w14:textId="77777777" w:rsidR="00B470C6" w:rsidRDefault="00B470C6" w:rsidP="00B470C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2.E.1.5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Explain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how money is used for saving, spending, borrowing, and giving.</w:t>
            </w:r>
          </w:p>
          <w:p w14:paraId="32EABEC8" w14:textId="77777777" w:rsidR="00B470C6" w:rsidRDefault="00B470C6" w:rsidP="00B470C6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2.E.1.6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Summarize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the role of financial institutions relative to savings.</w:t>
            </w:r>
          </w:p>
          <w:p w14:paraId="7D85EB2A" w14:textId="77777777" w:rsidR="00B470C6" w:rsidRDefault="00B470C6" w:rsidP="00B470C6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159B9F99" w14:textId="77777777" w:rsidR="00B470C6" w:rsidRDefault="00B470C6" w:rsidP="00B470C6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Civics and Government</w:t>
            </w:r>
          </w:p>
          <w:p w14:paraId="4014471E" w14:textId="77777777" w:rsidR="00B470C6" w:rsidRDefault="00B470C6" w:rsidP="00B470C6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2.C&amp;G.1 Understand the purpose of governments.</w:t>
            </w:r>
          </w:p>
          <w:p w14:paraId="28560059" w14:textId="77777777" w:rsidR="00B470C6" w:rsidRDefault="00B470C6" w:rsidP="00B470C6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2.C&amp;G1.1 Explain government services and their value to the community (libraries, parks, schools, etc.).</w:t>
            </w:r>
          </w:p>
          <w:p w14:paraId="7E17D25B" w14:textId="77777777" w:rsidR="00B470C6" w:rsidRDefault="00B470C6" w:rsidP="00B470C6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2.C&amp;G.1.2 Explain how governments establish order, provide security, and create laws to manage conflict.</w:t>
            </w:r>
          </w:p>
          <w:p w14:paraId="3F8DBC83" w14:textId="77777777" w:rsidR="00B470C6" w:rsidRDefault="00B470C6" w:rsidP="00B470C6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2.C&amp;G.2 Understand the roles and responsibilities of citizens.</w:t>
            </w:r>
          </w:p>
          <w:p w14:paraId="7D545418" w14:textId="77777777" w:rsidR="00B470C6" w:rsidRDefault="00B470C6" w:rsidP="00B470C6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2.C&amp;G.2.1 Exemplify characteristics of good citizenship through historical figures and everyday citizens.</w:t>
            </w:r>
          </w:p>
          <w:p w14:paraId="54937D0E" w14:textId="77777777" w:rsidR="00B470C6" w:rsidRDefault="00B470C6" w:rsidP="00B470C6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2.C&amp;G.2.2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Explain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why it is important for citizens to participate in their community.</w:t>
            </w:r>
          </w:p>
          <w:p w14:paraId="654BA175" w14:textId="77777777" w:rsidR="00B470C6" w:rsidRDefault="00B470C6" w:rsidP="00B470C6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</w:p>
          <w:p w14:paraId="217E051C" w14:textId="77777777" w:rsidR="00B470C6" w:rsidRDefault="00B470C6" w:rsidP="00B470C6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  <w:u w:val="single"/>
              </w:rPr>
              <w:t>Culture</w:t>
            </w:r>
          </w:p>
          <w:p w14:paraId="04D559DE" w14:textId="77777777" w:rsidR="00B470C6" w:rsidRDefault="00B470C6" w:rsidP="00B470C6">
            <w:pPr>
              <w:widowControl w:val="0"/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b/>
                <w:color w:val="2D2D2C"/>
                <w:sz w:val="20"/>
                <w:szCs w:val="20"/>
              </w:rPr>
            </w:pPr>
            <w:r>
              <w:rPr>
                <w:rFonts w:ascii="Cambria" w:hAnsi="Cambria" w:cs="Helvetica"/>
                <w:b/>
                <w:color w:val="2D2D2C"/>
                <w:sz w:val="20"/>
                <w:szCs w:val="20"/>
              </w:rPr>
              <w:t>2.C.1 Understand how various cultures influence communities.</w:t>
            </w:r>
          </w:p>
          <w:p w14:paraId="36FB9FCE" w14:textId="388B1907" w:rsidR="00B470C6" w:rsidRDefault="00B470C6" w:rsidP="00B470C6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2.C.1.1 Explain how artistic expressions of diverse cultures contribute to the community (stories, art, music, food, etc.).</w:t>
            </w:r>
          </w:p>
          <w:p w14:paraId="09D25BEF" w14:textId="3C98D48B" w:rsidR="00B470C6" w:rsidRDefault="00B470C6" w:rsidP="00B470C6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2.C.1.2 </w:t>
            </w:r>
            <w:proofErr w:type="gramStart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>Recognize</w:t>
            </w:r>
            <w:proofErr w:type="gramEnd"/>
            <w:r>
              <w:rPr>
                <w:rFonts w:ascii="Cambria" w:hAnsi="Cambria" w:cs="Helvetica"/>
                <w:color w:val="2D2D2C"/>
                <w:sz w:val="18"/>
                <w:szCs w:val="18"/>
              </w:rPr>
              <w:t xml:space="preserve"> the key historical figures and events that are associated with various cultural traditions.</w:t>
            </w:r>
          </w:p>
          <w:p w14:paraId="561A607B" w14:textId="149F2CEB" w:rsidR="00B470C6" w:rsidRPr="00B470C6" w:rsidRDefault="00B470C6" w:rsidP="00B470C6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900"/>
                <w:tab w:val="left" w:pos="3387"/>
              </w:tabs>
              <w:autoSpaceDE w:val="0"/>
              <w:autoSpaceDN w:val="0"/>
              <w:adjustRightInd w:val="0"/>
              <w:rPr>
                <w:rFonts w:ascii="Cambria" w:hAnsi="Cambria" w:cs="Helvetica"/>
                <w:color w:val="2D2D2C"/>
                <w:sz w:val="18"/>
                <w:szCs w:val="18"/>
              </w:rPr>
            </w:pPr>
            <w:r>
              <w:rPr>
                <w:rFonts w:ascii="Cambria" w:hAnsi="Cambria" w:cs="Helvetica"/>
                <w:color w:val="2D2D2C"/>
                <w:sz w:val="18"/>
                <w:szCs w:val="18"/>
              </w:rPr>
              <w:t>2.C.1.3 Exemplify respect and appropriate social skills needed for working with diverse groups.</w:t>
            </w:r>
          </w:p>
        </w:tc>
      </w:tr>
    </w:tbl>
    <w:p w14:paraId="6806F996" w14:textId="35F9D5BE" w:rsidR="008A0BFA" w:rsidRDefault="008A0BFA" w:rsidP="00B10693">
      <w:pPr>
        <w:pStyle w:val="NoSpacing"/>
        <w:jc w:val="center"/>
      </w:pPr>
    </w:p>
    <w:p w14:paraId="6EA1D624" w14:textId="77777777" w:rsidR="008A0BFA" w:rsidRDefault="008A0BFA" w:rsidP="00B10693">
      <w:pPr>
        <w:pStyle w:val="NoSpacing"/>
        <w:tabs>
          <w:tab w:val="left" w:pos="13410"/>
        </w:tabs>
        <w:jc w:val="center"/>
      </w:pPr>
    </w:p>
    <w:sectPr w:rsidR="008A0BFA" w:rsidSect="00B1437A">
      <w:headerReference w:type="default" r:id="rId10"/>
      <w:footerReference w:type="defaul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1A74B7" w14:textId="77777777" w:rsidR="00B470C6" w:rsidRDefault="00B470C6" w:rsidP="00C61C19">
      <w:pPr>
        <w:spacing w:after="0" w:line="240" w:lineRule="auto"/>
      </w:pPr>
      <w:r>
        <w:separator/>
      </w:r>
    </w:p>
  </w:endnote>
  <w:endnote w:type="continuationSeparator" w:id="0">
    <w:p w14:paraId="27B5C6E7" w14:textId="77777777" w:rsidR="00B470C6" w:rsidRDefault="00B470C6" w:rsidP="00C61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FD704" w14:textId="0B22E0A6" w:rsidR="00B470C6" w:rsidRDefault="00B470C6">
    <w:pPr>
      <w:pStyle w:val="Footer"/>
    </w:pPr>
    <w:r>
      <w:t>Revised 6/2013</w:t>
    </w:r>
    <w:r>
      <w:ptab w:relativeTo="margin" w:alignment="center" w:leader="none"/>
    </w:r>
    <w:r>
      <w:t>Curriculum &amp; Instruction</w:t>
    </w:r>
    <w:r>
      <w:tab/>
    </w:r>
    <w:r>
      <w:tab/>
    </w:r>
    <w:r>
      <w:tab/>
    </w:r>
    <w:r>
      <w:tab/>
    </w:r>
    <w:r>
      <w:tab/>
    </w:r>
    <w:r>
      <w:tab/>
      <w:t>1</w:t>
    </w:r>
    <w:r w:rsidRPr="000718A6">
      <w:rPr>
        <w:vertAlign w:val="superscript"/>
      </w:rPr>
      <w:t>st</w:t>
    </w:r>
    <w:r>
      <w:t xml:space="preserve"> Grade</w:t>
    </w:r>
  </w:p>
  <w:p w14:paraId="06189351" w14:textId="77777777" w:rsidR="00B470C6" w:rsidRDefault="00B470C6" w:rsidP="00C61C19">
    <w:pPr>
      <w:pStyle w:val="Footer"/>
      <w:jc w:val="cen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94487" w14:textId="77777777" w:rsidR="00B470C6" w:rsidRDefault="00B470C6" w:rsidP="00C61C19">
      <w:pPr>
        <w:spacing w:after="0" w:line="240" w:lineRule="auto"/>
      </w:pPr>
      <w:r>
        <w:separator/>
      </w:r>
    </w:p>
  </w:footnote>
  <w:footnote w:type="continuationSeparator" w:id="0">
    <w:p w14:paraId="667E187E" w14:textId="77777777" w:rsidR="00B470C6" w:rsidRDefault="00B470C6" w:rsidP="00C61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60317" w14:textId="791E5A78" w:rsidR="00B470C6" w:rsidRDefault="00B470C6" w:rsidP="00405F2B">
    <w:pPr>
      <w:pStyle w:val="Header"/>
      <w:jc w:val="center"/>
    </w:pPr>
    <w:r>
      <w:rPr>
        <w:noProof/>
      </w:rPr>
      <w:drawing>
        <wp:inline distT="0" distB="0" distL="0" distR="0" wp14:anchorId="6EFAF3FD" wp14:editId="2C6F225A">
          <wp:extent cx="768350" cy="578664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arrus county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350" cy="578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2"/>
        <w:szCs w:val="32"/>
      </w:rPr>
      <w:tab/>
    </w:r>
    <w:r>
      <w:rPr>
        <w:sz w:val="32"/>
        <w:szCs w:val="32"/>
      </w:rPr>
      <w:tab/>
      <w:t>Social Studies</w:t>
    </w:r>
    <w:r w:rsidRPr="00D51DA4">
      <w:rPr>
        <w:sz w:val="32"/>
        <w:szCs w:val="32"/>
      </w:rPr>
      <w:t xml:space="preserve"> Map:</w:t>
    </w:r>
    <w:r>
      <w:rPr>
        <w:sz w:val="32"/>
        <w:szCs w:val="32"/>
      </w:rPr>
      <w:t xml:space="preserve"> Second Grade </w:t>
    </w:r>
    <w:r>
      <w:ptab w:relativeTo="margin" w:alignment="right" w:leader="none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75DE4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0000012E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9E6C51"/>
    <w:multiLevelType w:val="hybridMultilevel"/>
    <w:tmpl w:val="66E60558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D35A8C"/>
    <w:multiLevelType w:val="hybridMultilevel"/>
    <w:tmpl w:val="CEB2F8DA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00432"/>
    <w:multiLevelType w:val="hybridMultilevel"/>
    <w:tmpl w:val="5F1292E4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8755BB"/>
    <w:multiLevelType w:val="hybridMultilevel"/>
    <w:tmpl w:val="81A2985A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3E0D31"/>
    <w:multiLevelType w:val="hybridMultilevel"/>
    <w:tmpl w:val="67BE792E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FF707B"/>
    <w:multiLevelType w:val="hybridMultilevel"/>
    <w:tmpl w:val="DBB2DE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1D25923"/>
    <w:multiLevelType w:val="hybridMultilevel"/>
    <w:tmpl w:val="DC64A78C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601BCE"/>
    <w:multiLevelType w:val="hybridMultilevel"/>
    <w:tmpl w:val="D4FA1F04"/>
    <w:lvl w:ilvl="0" w:tplc="BFBAD1A4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10"/>
  </w:num>
  <w:num w:numId="7">
    <w:abstractNumId w:val="5"/>
  </w:num>
  <w:num w:numId="8">
    <w:abstractNumId w:val="11"/>
  </w:num>
  <w:num w:numId="9">
    <w:abstractNumId w:val="7"/>
  </w:num>
  <w:num w:numId="10">
    <w:abstractNumId w:val="8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504"/>
    <w:rsid w:val="00010EA0"/>
    <w:rsid w:val="00017AE3"/>
    <w:rsid w:val="00042E40"/>
    <w:rsid w:val="00064A2F"/>
    <w:rsid w:val="0006533B"/>
    <w:rsid w:val="000718A6"/>
    <w:rsid w:val="00075DE4"/>
    <w:rsid w:val="000924B6"/>
    <w:rsid w:val="00094FA1"/>
    <w:rsid w:val="000A19DC"/>
    <w:rsid w:val="000B2DE1"/>
    <w:rsid w:val="000D0B7A"/>
    <w:rsid w:val="00107621"/>
    <w:rsid w:val="0012258A"/>
    <w:rsid w:val="00155F8A"/>
    <w:rsid w:val="00170259"/>
    <w:rsid w:val="001A3E11"/>
    <w:rsid w:val="001E12C6"/>
    <w:rsid w:val="001E4C45"/>
    <w:rsid w:val="001E53CB"/>
    <w:rsid w:val="001F40F3"/>
    <w:rsid w:val="00220287"/>
    <w:rsid w:val="00230B5E"/>
    <w:rsid w:val="0027470C"/>
    <w:rsid w:val="00277041"/>
    <w:rsid w:val="002C1F86"/>
    <w:rsid w:val="002C6288"/>
    <w:rsid w:val="002E294F"/>
    <w:rsid w:val="00303C39"/>
    <w:rsid w:val="00316264"/>
    <w:rsid w:val="00330AE0"/>
    <w:rsid w:val="00370744"/>
    <w:rsid w:val="00370E92"/>
    <w:rsid w:val="0039554A"/>
    <w:rsid w:val="003F4CAA"/>
    <w:rsid w:val="00405F2B"/>
    <w:rsid w:val="004157A3"/>
    <w:rsid w:val="00422918"/>
    <w:rsid w:val="00427DCE"/>
    <w:rsid w:val="00455244"/>
    <w:rsid w:val="00461BFA"/>
    <w:rsid w:val="005567E7"/>
    <w:rsid w:val="00597122"/>
    <w:rsid w:val="005A2BDA"/>
    <w:rsid w:val="005F2504"/>
    <w:rsid w:val="005F56B0"/>
    <w:rsid w:val="00603C35"/>
    <w:rsid w:val="00627AF7"/>
    <w:rsid w:val="00633B77"/>
    <w:rsid w:val="00646D99"/>
    <w:rsid w:val="006A131D"/>
    <w:rsid w:val="006B038B"/>
    <w:rsid w:val="006B19E5"/>
    <w:rsid w:val="006B19FB"/>
    <w:rsid w:val="006C1A75"/>
    <w:rsid w:val="006D4AB3"/>
    <w:rsid w:val="00722E80"/>
    <w:rsid w:val="00756031"/>
    <w:rsid w:val="00765263"/>
    <w:rsid w:val="00793B41"/>
    <w:rsid w:val="007A5DAA"/>
    <w:rsid w:val="007C1F2E"/>
    <w:rsid w:val="007D16E3"/>
    <w:rsid w:val="007E768C"/>
    <w:rsid w:val="00806966"/>
    <w:rsid w:val="008109D6"/>
    <w:rsid w:val="00834A30"/>
    <w:rsid w:val="008419FF"/>
    <w:rsid w:val="00870502"/>
    <w:rsid w:val="00870745"/>
    <w:rsid w:val="00876F22"/>
    <w:rsid w:val="008A0BFA"/>
    <w:rsid w:val="0090413E"/>
    <w:rsid w:val="00904DDD"/>
    <w:rsid w:val="0091513A"/>
    <w:rsid w:val="00952A5D"/>
    <w:rsid w:val="0097168C"/>
    <w:rsid w:val="0099357F"/>
    <w:rsid w:val="009952CD"/>
    <w:rsid w:val="009B1D24"/>
    <w:rsid w:val="009E6F07"/>
    <w:rsid w:val="009F539E"/>
    <w:rsid w:val="00A06E45"/>
    <w:rsid w:val="00A22DBC"/>
    <w:rsid w:val="00A40A78"/>
    <w:rsid w:val="00A40E8C"/>
    <w:rsid w:val="00A43783"/>
    <w:rsid w:val="00A6091F"/>
    <w:rsid w:val="00A74346"/>
    <w:rsid w:val="00AB148A"/>
    <w:rsid w:val="00AB6F79"/>
    <w:rsid w:val="00AB7A9D"/>
    <w:rsid w:val="00AC646F"/>
    <w:rsid w:val="00AF54AE"/>
    <w:rsid w:val="00B03605"/>
    <w:rsid w:val="00B10693"/>
    <w:rsid w:val="00B1437A"/>
    <w:rsid w:val="00B470C6"/>
    <w:rsid w:val="00B601A4"/>
    <w:rsid w:val="00B7307D"/>
    <w:rsid w:val="00B800EC"/>
    <w:rsid w:val="00BC71F9"/>
    <w:rsid w:val="00BD626A"/>
    <w:rsid w:val="00C02F2E"/>
    <w:rsid w:val="00C067BA"/>
    <w:rsid w:val="00C0795F"/>
    <w:rsid w:val="00C17C13"/>
    <w:rsid w:val="00C311CE"/>
    <w:rsid w:val="00C343EB"/>
    <w:rsid w:val="00C61C19"/>
    <w:rsid w:val="00C74FE3"/>
    <w:rsid w:val="00C936C4"/>
    <w:rsid w:val="00CA3DB5"/>
    <w:rsid w:val="00CB2B74"/>
    <w:rsid w:val="00CC0A2E"/>
    <w:rsid w:val="00CD6099"/>
    <w:rsid w:val="00CF2B78"/>
    <w:rsid w:val="00D0633F"/>
    <w:rsid w:val="00D138F4"/>
    <w:rsid w:val="00D55D11"/>
    <w:rsid w:val="00DC51A0"/>
    <w:rsid w:val="00DD3888"/>
    <w:rsid w:val="00DF1BD9"/>
    <w:rsid w:val="00E200F6"/>
    <w:rsid w:val="00E21532"/>
    <w:rsid w:val="00E30318"/>
    <w:rsid w:val="00EA06BE"/>
    <w:rsid w:val="00EA42BE"/>
    <w:rsid w:val="00EB5B79"/>
    <w:rsid w:val="00EC37C8"/>
    <w:rsid w:val="00EE61F6"/>
    <w:rsid w:val="00EF4810"/>
    <w:rsid w:val="00F233B4"/>
    <w:rsid w:val="00F2723A"/>
    <w:rsid w:val="00F30242"/>
    <w:rsid w:val="00F371C7"/>
    <w:rsid w:val="00F5512D"/>
    <w:rsid w:val="00F71FD0"/>
    <w:rsid w:val="00FD7346"/>
    <w:rsid w:val="00FE6D00"/>
    <w:rsid w:val="00FF315D"/>
    <w:rsid w:val="00FF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97D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2504"/>
    <w:pPr>
      <w:spacing w:after="0" w:line="240" w:lineRule="auto"/>
    </w:pPr>
  </w:style>
  <w:style w:type="table" w:styleId="TableGrid">
    <w:name w:val="Table Grid"/>
    <w:basedOn w:val="TableNormal"/>
    <w:uiPriority w:val="59"/>
    <w:rsid w:val="005F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6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C19"/>
  </w:style>
  <w:style w:type="paragraph" w:styleId="Footer">
    <w:name w:val="footer"/>
    <w:basedOn w:val="Normal"/>
    <w:link w:val="Foot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C19"/>
  </w:style>
  <w:style w:type="paragraph" w:styleId="BalloonText">
    <w:name w:val="Balloon Text"/>
    <w:basedOn w:val="Normal"/>
    <w:link w:val="BalloonTextChar"/>
    <w:uiPriority w:val="99"/>
    <w:semiHidden/>
    <w:unhideWhenUsed/>
    <w:rsid w:val="00C6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C1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AB148A"/>
  </w:style>
  <w:style w:type="character" w:styleId="Hyperlink">
    <w:name w:val="Hyperlink"/>
    <w:basedOn w:val="DefaultParagraphFont"/>
    <w:uiPriority w:val="99"/>
    <w:unhideWhenUsed/>
    <w:rsid w:val="0045524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16E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2504"/>
    <w:pPr>
      <w:spacing w:after="0" w:line="240" w:lineRule="auto"/>
    </w:pPr>
  </w:style>
  <w:style w:type="table" w:styleId="TableGrid">
    <w:name w:val="Table Grid"/>
    <w:basedOn w:val="TableNormal"/>
    <w:uiPriority w:val="59"/>
    <w:rsid w:val="005F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06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C19"/>
  </w:style>
  <w:style w:type="paragraph" w:styleId="Footer">
    <w:name w:val="footer"/>
    <w:basedOn w:val="Normal"/>
    <w:link w:val="FooterChar"/>
    <w:uiPriority w:val="99"/>
    <w:unhideWhenUsed/>
    <w:rsid w:val="00C61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C19"/>
  </w:style>
  <w:style w:type="paragraph" w:styleId="BalloonText">
    <w:name w:val="Balloon Text"/>
    <w:basedOn w:val="Normal"/>
    <w:link w:val="BalloonTextChar"/>
    <w:uiPriority w:val="99"/>
    <w:semiHidden/>
    <w:unhideWhenUsed/>
    <w:rsid w:val="00C6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C1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AB148A"/>
  </w:style>
  <w:style w:type="character" w:styleId="Hyperlink">
    <w:name w:val="Hyperlink"/>
    <w:basedOn w:val="DefaultParagraphFont"/>
    <w:uiPriority w:val="99"/>
    <w:unhideWhenUsed/>
    <w:rsid w:val="0045524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16E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cabarrus.k12.nc.us/cms/lib07/NC01910456/Centricity/domain/520/curriculum/ela/1st/unit1reading/FirstReadingUnit1%20.docx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0A004-3E5F-DB4C-BCFA-BD52DC0F5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514</Words>
  <Characters>2934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</Company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Cabarrus County Schools</dc:creator>
  <cp:lastModifiedBy>Tara Nattrass</cp:lastModifiedBy>
  <cp:revision>3</cp:revision>
  <cp:lastPrinted>2013-08-01T19:32:00Z</cp:lastPrinted>
  <dcterms:created xsi:type="dcterms:W3CDTF">2014-06-14T19:32:00Z</dcterms:created>
  <dcterms:modified xsi:type="dcterms:W3CDTF">2014-06-14T19:50:00Z</dcterms:modified>
</cp:coreProperties>
</file>